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C1" w:rsidRDefault="005329C1" w:rsidP="00124FFE">
      <w:pPr>
        <w:jc w:val="center"/>
        <w:rPr>
          <w:rFonts w:ascii="Arial" w:hAnsi="Arial" w:cs="Arial"/>
          <w:b/>
        </w:rPr>
      </w:pPr>
      <w:r>
        <w:rPr>
          <w:rFonts w:ascii="Arial" w:hAnsi="Arial" w:cs="Arial"/>
          <w:b/>
        </w:rPr>
        <w:t>Comprehensive Adverse Events and Potential Risks List (CAEPR)</w:t>
      </w:r>
    </w:p>
    <w:p w:rsidR="005329C1" w:rsidRDefault="005329C1" w:rsidP="00124FFE">
      <w:pPr>
        <w:jc w:val="center"/>
        <w:rPr>
          <w:rFonts w:ascii="Arial" w:hAnsi="Arial" w:cs="Arial"/>
          <w:b/>
        </w:rPr>
      </w:pPr>
      <w:r w:rsidRPr="00124FFE">
        <w:rPr>
          <w:rFonts w:ascii="Arial" w:hAnsi="Arial" w:cs="Arial"/>
          <w:b/>
        </w:rPr>
        <w:t>for</w:t>
      </w:r>
    </w:p>
    <w:p w:rsidR="005329C1" w:rsidRDefault="005329C1" w:rsidP="00124FFE">
      <w:pPr>
        <w:jc w:val="center"/>
        <w:rPr>
          <w:rFonts w:ascii="Arial" w:hAnsi="Arial" w:cs="Arial"/>
          <w:b/>
        </w:rPr>
      </w:pPr>
      <w:r>
        <w:rPr>
          <w:rFonts w:ascii="Arial" w:hAnsi="Arial" w:cs="Arial"/>
          <w:b/>
        </w:rPr>
        <w:t>3'-deoxy-3'-[F-18</w:t>
      </w:r>
      <w:proofErr w:type="gramStart"/>
      <w:r>
        <w:rPr>
          <w:rFonts w:ascii="Arial" w:hAnsi="Arial" w:cs="Arial"/>
          <w:b/>
        </w:rPr>
        <w:t>]fluorothymidine</w:t>
      </w:r>
      <w:proofErr w:type="gramEnd"/>
      <w:r>
        <w:rPr>
          <w:rFonts w:ascii="Arial" w:hAnsi="Arial" w:cs="Arial"/>
          <w:b/>
        </w:rPr>
        <w:t xml:space="preserve"> (NSC </w:t>
      </w:r>
      <w:r w:rsidR="00606E18">
        <w:rPr>
          <w:rFonts w:ascii="Arial" w:hAnsi="Arial" w:cs="Arial"/>
          <w:b/>
        </w:rPr>
        <w:t>743144</w:t>
      </w:r>
      <w:r>
        <w:rPr>
          <w:rFonts w:ascii="Arial" w:hAnsi="Arial" w:cs="Arial"/>
          <w:b/>
        </w:rPr>
        <w:t>)</w:t>
      </w:r>
    </w:p>
    <w:p w:rsidR="005329C1" w:rsidRDefault="005329C1" w:rsidP="00124FFE">
      <w:pPr>
        <w:jc w:val="center"/>
        <w:rPr>
          <w:rFonts w:ascii="Arial" w:hAnsi="Arial" w:cs="Arial"/>
          <w:b/>
        </w:rPr>
      </w:pPr>
    </w:p>
    <w:p w:rsidR="005329C1" w:rsidRDefault="00A0392C" w:rsidP="00124FFE">
      <w:pPr>
        <w:rPr>
          <w:rFonts w:ascii="Arial" w:hAnsi="Arial" w:cs="Arial"/>
          <w:sz w:val="20"/>
        </w:rPr>
      </w:pPr>
      <w:r w:rsidRPr="00017A5C">
        <w:rPr>
          <w:rFonts w:ascii="Arial" w:hAnsi="Arial" w:cs="Arial"/>
          <w:sz w:val="20"/>
          <w:szCs w:val="20"/>
        </w:rPr>
        <w:t xml:space="preserve">The Comprehensive Adverse Event and Potential Risks list (CAEPR) provides a single list of reported and/or potential adverse events (AE) associated with an agent using a uniform presentation of events by body system. In addition to the comprehensive list, a subset, the Specific Protocol Exceptions to Expedited Reporting (SPEER), appears in a separate column and is identified with bold and italicized text. This subset of AEs (SPEER) is a list of events that are protocol specific exceptions to expedited reporting to NCI via AdEERS (except as noted below).  Refer to the 'CTEP, NCI Guidelines: Adverse Event Reporting Requirements' </w:t>
      </w:r>
      <w:hyperlink r:id="rId7" w:history="1">
        <w:r w:rsidRPr="00017A5C">
          <w:rPr>
            <w:rStyle w:val="Hyperlink"/>
            <w:rFonts w:ascii="Arial" w:hAnsi="Arial" w:cs="Arial"/>
            <w:sz w:val="20"/>
            <w:szCs w:val="20"/>
          </w:rPr>
          <w:t>http://ctep.cancer.gov/protocolDevelopment/electronic_applications/docs/aeguidelines.pdf</w:t>
        </w:r>
      </w:hyperlink>
      <w:r w:rsidRPr="00017A5C">
        <w:rPr>
          <w:rFonts w:ascii="Arial" w:hAnsi="Arial" w:cs="Arial"/>
          <w:sz w:val="20"/>
          <w:szCs w:val="20"/>
        </w:rPr>
        <w:t xml:space="preserve">  for further clarification.</w:t>
      </w:r>
      <w:r w:rsidR="005329C1">
        <w:rPr>
          <w:rFonts w:ascii="Arial" w:hAnsi="Arial" w:cs="Arial"/>
          <w:sz w:val="20"/>
        </w:rPr>
        <w:t xml:space="preserve"> Below is the CAEPR for 3'-deoxy-3'-[F-18</w:t>
      </w:r>
      <w:proofErr w:type="gramStart"/>
      <w:r w:rsidR="005329C1">
        <w:rPr>
          <w:rFonts w:ascii="Arial" w:hAnsi="Arial" w:cs="Arial"/>
          <w:sz w:val="20"/>
        </w:rPr>
        <w:t>]fluorothymidine</w:t>
      </w:r>
      <w:proofErr w:type="gramEnd"/>
      <w:r w:rsidR="005329C1">
        <w:rPr>
          <w:rFonts w:ascii="Arial" w:hAnsi="Arial" w:cs="Arial"/>
          <w:sz w:val="20"/>
        </w:rPr>
        <w:t>.</w:t>
      </w:r>
    </w:p>
    <w:p w:rsidR="002C29C1" w:rsidRDefault="002C29C1" w:rsidP="00124FFE">
      <w:pPr>
        <w:rPr>
          <w:rFonts w:ascii="Arial" w:hAnsi="Arial" w:cs="Arial"/>
          <w:sz w:val="20"/>
        </w:rPr>
      </w:pPr>
    </w:p>
    <w:p w:rsidR="005329C1" w:rsidRPr="002C29C1" w:rsidRDefault="002C29C1" w:rsidP="00BF1C59">
      <w:pPr>
        <w:ind w:left="270"/>
        <w:rPr>
          <w:rFonts w:ascii="Arial" w:hAnsi="Arial" w:cs="Arial"/>
          <w:sz w:val="20"/>
        </w:rPr>
      </w:pPr>
      <w:r w:rsidRPr="002C29C1">
        <w:rPr>
          <w:rFonts w:ascii="Arial" w:hAnsi="Arial" w:cs="Arial"/>
          <w:b/>
          <w:sz w:val="20"/>
          <w:szCs w:val="20"/>
        </w:rPr>
        <w:t>NOTE</w:t>
      </w:r>
      <w:r w:rsidRPr="002C29C1">
        <w:rPr>
          <w:rFonts w:ascii="Arial" w:hAnsi="Arial" w:cs="Arial"/>
          <w:sz w:val="20"/>
          <w:szCs w:val="20"/>
        </w:rPr>
        <w:t xml:space="preserve">: Report AEs on the SPEER </w:t>
      </w:r>
      <w:r w:rsidRPr="002C29C1">
        <w:rPr>
          <w:rFonts w:ascii="Arial" w:hAnsi="Arial" w:cs="Arial"/>
          <w:b/>
          <w:sz w:val="20"/>
          <w:szCs w:val="20"/>
          <w:u w:val="single"/>
        </w:rPr>
        <w:t>ONLY IF</w:t>
      </w:r>
      <w:r w:rsidRPr="002C29C1">
        <w:rPr>
          <w:rFonts w:ascii="Arial" w:hAnsi="Arial" w:cs="Arial"/>
          <w:sz w:val="20"/>
          <w:szCs w:val="20"/>
        </w:rPr>
        <w:t xml:space="preserve"> they exceed the grade noted in parentheses next to the AE in the SPEER.  If this CAEPR is part of a combination protocol using multiple investigational agents and has an AE listed on different SPEERs, use the lower of the grades to determine if expedited reporting is required.</w:t>
      </w:r>
    </w:p>
    <w:p w:rsidR="005329C1" w:rsidRPr="00124FFE" w:rsidRDefault="00C43E19" w:rsidP="002C29C1">
      <w:pPr>
        <w:spacing w:before="120"/>
        <w:jc w:val="right"/>
        <w:rPr>
          <w:rFonts w:ascii="Arial" w:hAnsi="Arial" w:cs="Arial"/>
          <w:b/>
          <w:sz w:val="20"/>
        </w:rPr>
      </w:pPr>
      <w:r>
        <w:rPr>
          <w:rFonts w:ascii="Arial" w:hAnsi="Arial" w:cs="Arial"/>
          <w:b/>
          <w:sz w:val="20"/>
        </w:rPr>
        <w:t>Version 1.</w:t>
      </w:r>
      <w:r w:rsidR="00A0392C">
        <w:rPr>
          <w:rFonts w:ascii="Arial" w:hAnsi="Arial" w:cs="Arial"/>
          <w:b/>
          <w:sz w:val="20"/>
        </w:rPr>
        <w:t>1</w:t>
      </w:r>
      <w:r>
        <w:rPr>
          <w:rFonts w:ascii="Arial" w:hAnsi="Arial" w:cs="Arial"/>
          <w:b/>
          <w:sz w:val="20"/>
          <w:vertAlign w:val="superscript"/>
        </w:rPr>
        <w:t>1</w:t>
      </w:r>
      <w:r>
        <w:rPr>
          <w:rFonts w:ascii="Arial" w:hAnsi="Arial" w:cs="Arial"/>
          <w:b/>
          <w:sz w:val="20"/>
        </w:rPr>
        <w:t xml:space="preserve"> </w:t>
      </w:r>
    </w:p>
    <w:tbl>
      <w:tblPr>
        <w:tblW w:w="0" w:type="auto"/>
        <w:tblLayout w:type="fixed"/>
        <w:tblLook w:val="0000"/>
      </w:tblPr>
      <w:tblGrid>
        <w:gridCol w:w="1224"/>
        <w:gridCol w:w="4284"/>
        <w:gridCol w:w="4388"/>
      </w:tblGrid>
      <w:tr w:rsidR="005329C1" w:rsidTr="00D20A23">
        <w:tc>
          <w:tcPr>
            <w:tcW w:w="1224" w:type="dxa"/>
            <w:tcBorders>
              <w:top w:val="single" w:sz="4" w:space="0" w:color="auto"/>
              <w:left w:val="single" w:sz="4" w:space="0" w:color="auto"/>
              <w:bottom w:val="single" w:sz="4" w:space="0" w:color="auto"/>
              <w:right w:val="single" w:sz="4" w:space="0" w:color="auto"/>
            </w:tcBorders>
            <w:shd w:val="clear" w:color="auto" w:fill="FFFF00"/>
          </w:tcPr>
          <w:p w:rsidR="005329C1" w:rsidRDefault="005329C1" w:rsidP="00124FFE">
            <w:pPr>
              <w:jc w:val="center"/>
              <w:rPr>
                <w:rFonts w:ascii="Arial" w:hAnsi="Arial" w:cs="Arial"/>
                <w:b/>
                <w:sz w:val="20"/>
              </w:rPr>
            </w:pPr>
          </w:p>
          <w:p w:rsidR="005329C1" w:rsidRDefault="005329C1" w:rsidP="00124FFE">
            <w:pPr>
              <w:jc w:val="center"/>
              <w:rPr>
                <w:rFonts w:ascii="Arial" w:hAnsi="Arial" w:cs="Arial"/>
                <w:b/>
                <w:sz w:val="20"/>
              </w:rPr>
            </w:pPr>
            <w:r>
              <w:rPr>
                <w:rFonts w:ascii="Arial" w:hAnsi="Arial" w:cs="Arial"/>
                <w:b/>
                <w:sz w:val="20"/>
              </w:rPr>
              <w:t>Category</w:t>
            </w:r>
          </w:p>
          <w:p w:rsidR="005329C1" w:rsidRDefault="005329C1" w:rsidP="00124FFE">
            <w:pPr>
              <w:jc w:val="center"/>
              <w:rPr>
                <w:rFonts w:ascii="Arial" w:hAnsi="Arial" w:cs="Arial"/>
                <w:b/>
                <w:sz w:val="20"/>
              </w:rPr>
            </w:pPr>
            <w:r>
              <w:rPr>
                <w:rFonts w:ascii="Arial" w:hAnsi="Arial" w:cs="Arial"/>
                <w:b/>
                <w:sz w:val="20"/>
              </w:rPr>
              <w:t>(Body System)</w:t>
            </w:r>
          </w:p>
          <w:p w:rsidR="005329C1" w:rsidRPr="00124FFE" w:rsidRDefault="005329C1" w:rsidP="00124FFE">
            <w:pPr>
              <w:jc w:val="center"/>
              <w:rPr>
                <w:rFonts w:ascii="Arial" w:hAnsi="Arial" w:cs="Arial"/>
                <w:b/>
                <w:sz w:val="20"/>
              </w:rPr>
            </w:pPr>
          </w:p>
        </w:tc>
        <w:tc>
          <w:tcPr>
            <w:tcW w:w="4284" w:type="dxa"/>
            <w:tcBorders>
              <w:top w:val="single" w:sz="4" w:space="0" w:color="auto"/>
              <w:left w:val="single" w:sz="4" w:space="0" w:color="auto"/>
              <w:bottom w:val="single" w:sz="4" w:space="0" w:color="auto"/>
              <w:right w:val="single" w:sz="4" w:space="0" w:color="auto"/>
            </w:tcBorders>
            <w:shd w:val="clear" w:color="auto" w:fill="FFFF00"/>
          </w:tcPr>
          <w:p w:rsidR="005329C1" w:rsidRDefault="005329C1" w:rsidP="00124FFE">
            <w:pPr>
              <w:jc w:val="center"/>
              <w:rPr>
                <w:rFonts w:ascii="Arial" w:hAnsi="Arial" w:cs="Arial"/>
                <w:b/>
                <w:sz w:val="20"/>
              </w:rPr>
            </w:pPr>
          </w:p>
          <w:p w:rsidR="005329C1" w:rsidRDefault="005329C1" w:rsidP="00124FFE">
            <w:pPr>
              <w:jc w:val="center"/>
              <w:rPr>
                <w:rFonts w:ascii="Arial" w:hAnsi="Arial" w:cs="Arial"/>
                <w:b/>
                <w:sz w:val="20"/>
              </w:rPr>
            </w:pPr>
            <w:r>
              <w:rPr>
                <w:rFonts w:ascii="Arial" w:hAnsi="Arial" w:cs="Arial"/>
                <w:b/>
                <w:sz w:val="20"/>
              </w:rPr>
              <w:t>Adverse Events</w:t>
            </w:r>
            <w:r>
              <w:rPr>
                <w:rFonts w:ascii="Arial" w:hAnsi="Arial" w:cs="Arial"/>
                <w:b/>
                <w:sz w:val="20"/>
                <w:vertAlign w:val="superscript"/>
              </w:rPr>
              <w:t>2</w:t>
            </w:r>
            <w:r>
              <w:rPr>
                <w:rFonts w:ascii="Arial" w:hAnsi="Arial" w:cs="Arial"/>
                <w:b/>
                <w:sz w:val="20"/>
              </w:rPr>
              <w:t xml:space="preserve"> with Possible</w:t>
            </w:r>
          </w:p>
          <w:p w:rsidR="005329C1" w:rsidRDefault="005329C1" w:rsidP="00124FFE">
            <w:pPr>
              <w:jc w:val="center"/>
              <w:rPr>
                <w:rFonts w:ascii="Arial" w:hAnsi="Arial" w:cs="Arial"/>
                <w:b/>
                <w:sz w:val="20"/>
              </w:rPr>
            </w:pPr>
            <w:r>
              <w:rPr>
                <w:rFonts w:ascii="Arial" w:hAnsi="Arial" w:cs="Arial"/>
                <w:b/>
                <w:sz w:val="20"/>
              </w:rPr>
              <w:t>Relationship to 3'-deoxy-3'-[F-18]fluorothymidine</w:t>
            </w:r>
          </w:p>
          <w:p w:rsidR="005329C1" w:rsidRDefault="005329C1" w:rsidP="00124FFE">
            <w:pPr>
              <w:jc w:val="center"/>
              <w:rPr>
                <w:rFonts w:ascii="Arial" w:hAnsi="Arial" w:cs="Arial"/>
                <w:b/>
                <w:sz w:val="20"/>
              </w:rPr>
            </w:pPr>
            <w:r>
              <w:rPr>
                <w:rFonts w:ascii="Arial" w:hAnsi="Arial" w:cs="Arial"/>
                <w:b/>
                <w:sz w:val="20"/>
              </w:rPr>
              <w:t>(CTCAE v3.0 Term)</w:t>
            </w:r>
          </w:p>
          <w:p w:rsidR="005329C1" w:rsidRPr="00124FFE" w:rsidRDefault="005329C1" w:rsidP="00124FFE">
            <w:pPr>
              <w:jc w:val="center"/>
              <w:rPr>
                <w:rFonts w:ascii="Arial" w:hAnsi="Arial" w:cs="Arial"/>
                <w:b/>
                <w:sz w:val="20"/>
              </w:rPr>
            </w:pPr>
          </w:p>
        </w:tc>
        <w:tc>
          <w:tcPr>
            <w:tcW w:w="4388" w:type="dxa"/>
            <w:tcBorders>
              <w:top w:val="single" w:sz="4" w:space="0" w:color="auto"/>
              <w:left w:val="single" w:sz="4" w:space="0" w:color="auto"/>
              <w:bottom w:val="single" w:sz="4" w:space="0" w:color="auto"/>
              <w:right w:val="single" w:sz="4" w:space="0" w:color="auto"/>
            </w:tcBorders>
            <w:shd w:val="clear" w:color="auto" w:fill="FFFF00"/>
          </w:tcPr>
          <w:p w:rsidR="005329C1" w:rsidRPr="00124FFE" w:rsidRDefault="005329C1" w:rsidP="00124FFE">
            <w:pPr>
              <w:jc w:val="center"/>
              <w:rPr>
                <w:rFonts w:ascii="Arial" w:hAnsi="Arial" w:cs="Arial"/>
                <w:b/>
                <w:sz w:val="20"/>
              </w:rPr>
            </w:pPr>
          </w:p>
          <w:p w:rsidR="00A0392C" w:rsidRPr="00160653" w:rsidRDefault="00A0392C" w:rsidP="00A0392C">
            <w:pPr>
              <w:jc w:val="center"/>
              <w:rPr>
                <w:rFonts w:ascii="Arial" w:hAnsi="Arial" w:cs="Arial"/>
                <w:b/>
                <w:bCs/>
                <w:sz w:val="20"/>
                <w:szCs w:val="20"/>
              </w:rPr>
            </w:pPr>
            <w:r w:rsidRPr="00160653">
              <w:rPr>
                <w:rFonts w:ascii="Arial" w:hAnsi="Arial" w:cs="Arial"/>
                <w:b/>
                <w:bCs/>
                <w:sz w:val="20"/>
                <w:szCs w:val="20"/>
              </w:rPr>
              <w:t xml:space="preserve">Specific Protocol Exceptions to Expedited Reporting (SPEER) </w:t>
            </w:r>
          </w:p>
          <w:p w:rsidR="00A0392C" w:rsidRPr="00160653" w:rsidRDefault="00A0392C" w:rsidP="00A0392C">
            <w:pPr>
              <w:jc w:val="center"/>
              <w:rPr>
                <w:rFonts w:ascii="Arial" w:hAnsi="Arial" w:cs="Arial"/>
                <w:b/>
                <w:bCs/>
                <w:sz w:val="20"/>
                <w:szCs w:val="20"/>
              </w:rPr>
            </w:pPr>
          </w:p>
          <w:p w:rsidR="005329C1" w:rsidRPr="00362247" w:rsidRDefault="00A0392C" w:rsidP="00A0392C">
            <w:pPr>
              <w:jc w:val="center"/>
              <w:rPr>
                <w:rFonts w:ascii="Arial" w:hAnsi="Arial" w:cs="Arial"/>
                <w:b/>
                <w:bCs/>
                <w:sz w:val="20"/>
                <w:szCs w:val="20"/>
              </w:rPr>
            </w:pPr>
            <w:r w:rsidRPr="00160653">
              <w:rPr>
                <w:rFonts w:ascii="Arial" w:hAnsi="Arial" w:cs="Arial"/>
                <w:bCs/>
                <w:sz w:val="18"/>
                <w:szCs w:val="18"/>
              </w:rPr>
              <w:t>(formerly known as ASAEL)</w:t>
            </w:r>
          </w:p>
          <w:p w:rsidR="005329C1" w:rsidRPr="00124FFE" w:rsidRDefault="005329C1" w:rsidP="00124FFE">
            <w:pPr>
              <w:jc w:val="center"/>
              <w:rPr>
                <w:rFonts w:ascii="Arial" w:hAnsi="Arial" w:cs="Arial"/>
                <w:b/>
                <w:sz w:val="20"/>
              </w:rPr>
            </w:pPr>
          </w:p>
        </w:tc>
      </w:tr>
      <w:tr w:rsidR="005329C1" w:rsidTr="00D20A23">
        <w:tc>
          <w:tcPr>
            <w:tcW w:w="5508" w:type="dxa"/>
            <w:gridSpan w:val="2"/>
            <w:tcBorders>
              <w:top w:val="single" w:sz="4" w:space="0" w:color="auto"/>
              <w:left w:val="single" w:sz="4" w:space="0" w:color="auto"/>
              <w:bottom w:val="single" w:sz="4" w:space="0" w:color="auto"/>
              <w:right w:val="single" w:sz="4" w:space="0" w:color="auto"/>
            </w:tcBorders>
            <w:shd w:val="pct20" w:color="auto" w:fill="auto"/>
          </w:tcPr>
          <w:p w:rsidR="005329C1" w:rsidRPr="00124FFE" w:rsidRDefault="005329C1" w:rsidP="00124FFE">
            <w:pPr>
              <w:rPr>
                <w:rFonts w:ascii="Arial" w:hAnsi="Arial" w:cs="Arial"/>
                <w:sz w:val="20"/>
              </w:rPr>
            </w:pPr>
          </w:p>
        </w:tc>
        <w:tc>
          <w:tcPr>
            <w:tcW w:w="4388" w:type="dxa"/>
            <w:tcBorders>
              <w:top w:val="single" w:sz="4" w:space="0" w:color="auto"/>
              <w:left w:val="single" w:sz="4" w:space="0" w:color="auto"/>
              <w:bottom w:val="single" w:sz="4" w:space="0" w:color="auto"/>
              <w:right w:val="single" w:sz="4" w:space="0" w:color="auto"/>
            </w:tcBorders>
            <w:shd w:val="pct20" w:color="auto" w:fill="auto"/>
          </w:tcPr>
          <w:p w:rsidR="005329C1" w:rsidRPr="00D20A23" w:rsidRDefault="005329C1" w:rsidP="00D20A23">
            <w:pPr>
              <w:jc w:val="center"/>
              <w:rPr>
                <w:rFonts w:ascii="Arial" w:hAnsi="Arial" w:cs="Arial"/>
                <w:b/>
                <w:i/>
                <w:sz w:val="20"/>
              </w:rPr>
            </w:pPr>
          </w:p>
        </w:tc>
      </w:tr>
      <w:tr w:rsidR="005329C1" w:rsidTr="00D20A23">
        <w:tc>
          <w:tcPr>
            <w:tcW w:w="1224" w:type="dxa"/>
            <w:tcBorders>
              <w:top w:val="single" w:sz="4" w:space="0" w:color="auto"/>
              <w:left w:val="single" w:sz="4" w:space="0" w:color="auto"/>
              <w:bottom w:val="single" w:sz="4" w:space="0" w:color="auto"/>
              <w:right w:val="single" w:sz="4" w:space="0" w:color="auto"/>
            </w:tcBorders>
          </w:tcPr>
          <w:p w:rsidR="005329C1" w:rsidRPr="00124FFE" w:rsidRDefault="005329C1" w:rsidP="00124FFE">
            <w:pPr>
              <w:rPr>
                <w:rFonts w:ascii="Arial" w:hAnsi="Arial" w:cs="Arial"/>
                <w:b/>
                <w:sz w:val="20"/>
              </w:rPr>
            </w:pPr>
          </w:p>
        </w:tc>
        <w:tc>
          <w:tcPr>
            <w:tcW w:w="4284" w:type="dxa"/>
            <w:tcBorders>
              <w:top w:val="single" w:sz="4" w:space="0" w:color="auto"/>
              <w:left w:val="single" w:sz="4" w:space="0" w:color="auto"/>
              <w:bottom w:val="single" w:sz="4" w:space="0" w:color="auto"/>
              <w:right w:val="single" w:sz="4" w:space="0" w:color="auto"/>
            </w:tcBorders>
          </w:tcPr>
          <w:p w:rsidR="005329C1" w:rsidRPr="00124FFE" w:rsidRDefault="00DA6382" w:rsidP="00124FFE">
            <w:pPr>
              <w:rPr>
                <w:rFonts w:ascii="Arial" w:hAnsi="Arial" w:cs="Arial"/>
                <w:sz w:val="20"/>
              </w:rPr>
            </w:pPr>
            <w:r>
              <w:rPr>
                <w:rFonts w:ascii="Arial" w:hAnsi="Arial" w:cs="Arial"/>
                <w:sz w:val="20"/>
              </w:rPr>
              <w:t>No AEs reported in human studies</w:t>
            </w:r>
            <w:r w:rsidR="001D251A">
              <w:rPr>
                <w:rFonts w:ascii="Arial" w:hAnsi="Arial" w:cs="Arial"/>
                <w:sz w:val="20"/>
                <w:vertAlign w:val="superscript"/>
              </w:rPr>
              <w:t>2,3</w:t>
            </w:r>
            <w:r>
              <w:rPr>
                <w:rFonts w:ascii="Arial" w:hAnsi="Arial" w:cs="Arial"/>
                <w:sz w:val="20"/>
              </w:rPr>
              <w:t>.</w:t>
            </w:r>
          </w:p>
        </w:tc>
        <w:tc>
          <w:tcPr>
            <w:tcW w:w="4388" w:type="dxa"/>
            <w:tcBorders>
              <w:top w:val="single" w:sz="4" w:space="0" w:color="auto"/>
              <w:left w:val="single" w:sz="4" w:space="0" w:color="auto"/>
              <w:bottom w:val="single" w:sz="4" w:space="0" w:color="auto"/>
              <w:right w:val="single" w:sz="4" w:space="0" w:color="auto"/>
            </w:tcBorders>
            <w:shd w:val="clear" w:color="auto" w:fill="CCFFCC"/>
          </w:tcPr>
          <w:p w:rsidR="005329C1" w:rsidRDefault="005329C1" w:rsidP="00124FFE">
            <w:pPr>
              <w:rPr>
                <w:rFonts w:ascii="Arial" w:hAnsi="Arial" w:cs="Arial"/>
                <w:b/>
                <w:sz w:val="20"/>
              </w:rPr>
            </w:pPr>
          </w:p>
        </w:tc>
      </w:tr>
    </w:tbl>
    <w:p w:rsidR="005329C1" w:rsidRPr="00124FFE" w:rsidRDefault="005329C1" w:rsidP="00124FFE">
      <w:pPr>
        <w:rPr>
          <w:rFonts w:ascii="Arial" w:hAnsi="Arial" w:cs="Arial"/>
          <w:b/>
          <w:sz w:val="20"/>
          <w:vertAlign w:val="superscript"/>
        </w:rPr>
      </w:pPr>
    </w:p>
    <w:p w:rsidR="005329C1" w:rsidRPr="00124FFE" w:rsidRDefault="005329C1" w:rsidP="00124FFE">
      <w:pPr>
        <w:rPr>
          <w:rFonts w:ascii="Arial" w:hAnsi="Arial" w:cs="Arial"/>
          <w:sz w:val="20"/>
        </w:rPr>
      </w:pPr>
      <w:r w:rsidRPr="00124FFE">
        <w:rPr>
          <w:rFonts w:ascii="Arial" w:hAnsi="Arial" w:cs="Arial"/>
          <w:b/>
          <w:sz w:val="20"/>
          <w:vertAlign w:val="superscript"/>
        </w:rPr>
        <w:t>1</w:t>
      </w:r>
      <w:r w:rsidRPr="00124FFE">
        <w:rPr>
          <w:rFonts w:ascii="Arial" w:hAnsi="Arial" w:cs="Arial"/>
          <w:sz w:val="20"/>
        </w:rPr>
        <w:t xml:space="preserve">This table will be updated as the toxicity profile of the agent is revised.  Updates will be distributed to all Principal Investigators at the time of revision.  The current version can be obtained by contacting </w:t>
      </w:r>
      <w:hyperlink r:id="rId8" w:history="1">
        <w:r w:rsidRPr="006A203A">
          <w:rPr>
            <w:rStyle w:val="Hyperlink"/>
            <w:rFonts w:ascii="Arial" w:hAnsi="Arial" w:cs="Arial"/>
            <w:sz w:val="20"/>
            <w:szCs w:val="20"/>
          </w:rPr>
          <w:t>PIO@CTEP.NCI.NIH.GOV</w:t>
        </w:r>
      </w:hyperlink>
      <w:r>
        <w:rPr>
          <w:sz w:val="20"/>
          <w:szCs w:val="20"/>
        </w:rPr>
        <w:t xml:space="preserve">.  </w:t>
      </w:r>
      <w:r w:rsidRPr="00124FFE">
        <w:rPr>
          <w:rFonts w:ascii="Arial" w:hAnsi="Arial" w:cs="Arial"/>
          <w:sz w:val="20"/>
        </w:rPr>
        <w:t>Your name, the name of the investigator, the protocol</w:t>
      </w:r>
      <w:r w:rsidR="0073504F">
        <w:rPr>
          <w:rFonts w:ascii="Arial" w:hAnsi="Arial" w:cs="Arial"/>
          <w:sz w:val="20"/>
        </w:rPr>
        <w:t>,</w:t>
      </w:r>
      <w:r w:rsidRPr="00124FFE">
        <w:rPr>
          <w:rFonts w:ascii="Arial" w:hAnsi="Arial" w:cs="Arial"/>
          <w:sz w:val="20"/>
        </w:rPr>
        <w:t xml:space="preserve"> and the agent should be included in the e-mail.</w:t>
      </w:r>
    </w:p>
    <w:p w:rsidR="005329C1" w:rsidRDefault="005329C1" w:rsidP="00124FFE">
      <w:pPr>
        <w:rPr>
          <w:rFonts w:ascii="Arial" w:hAnsi="Arial" w:cs="Arial"/>
          <w:sz w:val="20"/>
        </w:rPr>
      </w:pPr>
    </w:p>
    <w:p w:rsidR="001D251A" w:rsidRPr="00D33784" w:rsidRDefault="001D251A" w:rsidP="00124FFE">
      <w:pPr>
        <w:rPr>
          <w:rFonts w:ascii="Arial" w:hAnsi="Arial" w:cs="Arial"/>
          <w:sz w:val="20"/>
          <w:szCs w:val="20"/>
        </w:rPr>
      </w:pPr>
      <w:r w:rsidRPr="00BF1C59">
        <w:rPr>
          <w:rFonts w:ascii="Arial" w:hAnsi="Arial" w:cs="Arial"/>
          <w:b/>
          <w:sz w:val="20"/>
          <w:vertAlign w:val="superscript"/>
        </w:rPr>
        <w:t>2</w:t>
      </w:r>
      <w:r w:rsidRPr="00D33784">
        <w:rPr>
          <w:rFonts w:ascii="Arial" w:hAnsi="Arial" w:cs="Arial"/>
          <w:sz w:val="20"/>
        </w:rPr>
        <w:t xml:space="preserve">No adverse events have been attributed to </w:t>
      </w:r>
      <w:r w:rsidR="008865AE" w:rsidRPr="00D33784">
        <w:rPr>
          <w:rFonts w:ascii="Arial" w:hAnsi="Arial" w:cs="Arial"/>
          <w:sz w:val="20"/>
          <w:szCs w:val="20"/>
        </w:rPr>
        <w:t xml:space="preserve">Positron-Emission Tomography </w:t>
      </w:r>
      <w:r w:rsidR="008865AE">
        <w:rPr>
          <w:rFonts w:ascii="Arial" w:hAnsi="Arial" w:cs="Arial"/>
          <w:sz w:val="20"/>
          <w:szCs w:val="20"/>
        </w:rPr>
        <w:t>(</w:t>
      </w:r>
      <w:r w:rsidRPr="00D33784">
        <w:rPr>
          <w:rFonts w:ascii="Arial" w:hAnsi="Arial" w:cs="Arial"/>
          <w:sz w:val="20"/>
        </w:rPr>
        <w:t>PET</w:t>
      </w:r>
      <w:r w:rsidR="008865AE">
        <w:rPr>
          <w:rFonts w:ascii="Arial" w:hAnsi="Arial" w:cs="Arial"/>
          <w:sz w:val="20"/>
        </w:rPr>
        <w:t>)</w:t>
      </w:r>
      <w:r w:rsidRPr="00D33784">
        <w:rPr>
          <w:rFonts w:ascii="Arial" w:hAnsi="Arial" w:cs="Arial"/>
          <w:sz w:val="20"/>
        </w:rPr>
        <w:t xml:space="preserve"> imaging/diagnostic administration of [</w:t>
      </w:r>
      <w:r w:rsidRPr="00D33784">
        <w:rPr>
          <w:rFonts w:ascii="Arial" w:hAnsi="Arial" w:cs="Arial"/>
          <w:sz w:val="20"/>
          <w:szCs w:val="20"/>
        </w:rPr>
        <w:t>3'-deoxy-3'-[F-18</w:t>
      </w:r>
      <w:proofErr w:type="gramStart"/>
      <w:r w:rsidRPr="00D33784">
        <w:rPr>
          <w:rFonts w:ascii="Arial" w:hAnsi="Arial" w:cs="Arial"/>
          <w:sz w:val="20"/>
          <w:szCs w:val="20"/>
        </w:rPr>
        <w:t>]fluorothymidine</w:t>
      </w:r>
      <w:proofErr w:type="gramEnd"/>
      <w:r w:rsidRPr="00D33784">
        <w:rPr>
          <w:rFonts w:ascii="Arial" w:hAnsi="Arial" w:cs="Arial"/>
          <w:sz w:val="20"/>
          <w:szCs w:val="20"/>
        </w:rPr>
        <w:t xml:space="preserve"> </w:t>
      </w:r>
      <w:r w:rsidRPr="00D33784">
        <w:rPr>
          <w:rFonts w:ascii="Arial" w:hAnsi="Arial" w:cs="Arial"/>
          <w:sz w:val="20"/>
        </w:rPr>
        <w:t xml:space="preserve">at the levels described in the Investigators Brochure.  </w:t>
      </w:r>
      <w:r w:rsidR="00D33784" w:rsidRPr="00D33784">
        <w:rPr>
          <w:rFonts w:ascii="Arial" w:hAnsi="Arial" w:cs="Arial"/>
          <w:sz w:val="20"/>
        </w:rPr>
        <w:t>Therefore</w:t>
      </w:r>
      <w:r w:rsidRPr="00D33784">
        <w:rPr>
          <w:rFonts w:ascii="Arial" w:hAnsi="Arial" w:cs="Arial"/>
          <w:sz w:val="20"/>
        </w:rPr>
        <w:t xml:space="preserve">, no adverse events are expected as a result of the intravenous (IV) administration of </w:t>
      </w:r>
      <w:r w:rsidRPr="00D33784">
        <w:rPr>
          <w:rFonts w:ascii="Arial" w:hAnsi="Arial" w:cs="Arial"/>
          <w:sz w:val="20"/>
          <w:szCs w:val="20"/>
        </w:rPr>
        <w:t>3'-deoxy-3'-[F-18</w:t>
      </w:r>
      <w:proofErr w:type="gramStart"/>
      <w:r w:rsidR="008C0469">
        <w:rPr>
          <w:rFonts w:ascii="Arial" w:hAnsi="Arial" w:cs="Arial"/>
          <w:sz w:val="20"/>
          <w:szCs w:val="20"/>
        </w:rPr>
        <w:t>]</w:t>
      </w:r>
      <w:r w:rsidR="008C0469" w:rsidRPr="00D33784">
        <w:rPr>
          <w:rFonts w:ascii="Arial" w:hAnsi="Arial" w:cs="Arial"/>
          <w:sz w:val="20"/>
          <w:szCs w:val="20"/>
        </w:rPr>
        <w:t>fluorothymidine</w:t>
      </w:r>
      <w:proofErr w:type="gramEnd"/>
      <w:r w:rsidRPr="00D33784">
        <w:rPr>
          <w:rFonts w:ascii="Arial" w:hAnsi="Arial" w:cs="Arial"/>
          <w:color w:val="FF0000"/>
          <w:sz w:val="20"/>
          <w:szCs w:val="20"/>
        </w:rPr>
        <w:t xml:space="preserve"> </w:t>
      </w:r>
      <w:r w:rsidRPr="00D33784">
        <w:rPr>
          <w:rFonts w:ascii="Arial" w:hAnsi="Arial" w:cs="Arial"/>
          <w:sz w:val="20"/>
        </w:rPr>
        <w:t>for typical PET imaging applications</w:t>
      </w:r>
      <w:r w:rsidR="00F63A4B" w:rsidRPr="00D33784">
        <w:rPr>
          <w:rFonts w:ascii="Arial" w:hAnsi="Arial" w:cs="Arial"/>
          <w:sz w:val="20"/>
        </w:rPr>
        <w:t>.</w:t>
      </w:r>
      <w:r w:rsidRPr="00D33784">
        <w:rPr>
          <w:rFonts w:ascii="Arial" w:hAnsi="Arial" w:cs="Arial"/>
          <w:sz w:val="20"/>
        </w:rPr>
        <w:t xml:space="preserve">  </w:t>
      </w:r>
    </w:p>
    <w:p w:rsidR="001D251A" w:rsidRPr="00D33784" w:rsidRDefault="001D251A" w:rsidP="00124FFE">
      <w:pPr>
        <w:rPr>
          <w:rFonts w:ascii="Arial" w:hAnsi="Arial" w:cs="Arial"/>
          <w:sz w:val="20"/>
          <w:szCs w:val="20"/>
        </w:rPr>
      </w:pPr>
    </w:p>
    <w:p w:rsidR="001D251A" w:rsidRPr="00D33784" w:rsidRDefault="001D251A" w:rsidP="00124FFE">
      <w:pPr>
        <w:rPr>
          <w:rFonts w:ascii="Arial" w:hAnsi="Arial" w:cs="Arial"/>
          <w:sz w:val="20"/>
        </w:rPr>
      </w:pPr>
      <w:r w:rsidRPr="00BF1C59">
        <w:rPr>
          <w:rFonts w:ascii="Arial" w:hAnsi="Arial" w:cs="Arial"/>
          <w:b/>
          <w:sz w:val="20"/>
          <w:vertAlign w:val="superscript"/>
        </w:rPr>
        <w:t>3</w:t>
      </w:r>
      <w:r w:rsidRPr="00D33784">
        <w:rPr>
          <w:rFonts w:ascii="Arial" w:hAnsi="Arial" w:cs="Arial"/>
          <w:sz w:val="20"/>
          <w:szCs w:val="20"/>
        </w:rPr>
        <w:t>As with many intravenously administered agents, 3'-deoxy-3'-[F-18]fluorothymidine could cause an allergic reaction that could potentially pose a threat to life (anaphylaxis).  This has not been observed in limited human exposure to date.  Reasonable p</w:t>
      </w:r>
      <w:r w:rsidRPr="00D33784">
        <w:rPr>
          <w:rFonts w:ascii="Arial" w:hAnsi="Arial" w:cs="Arial"/>
          <w:color w:val="000000"/>
          <w:sz w:val="20"/>
          <w:szCs w:val="20"/>
        </w:rPr>
        <w:t>recautions should be taken, consistent with normal radiologic and clinical facility practice.  The patient should be monitored until the PET procedure is completed, and trained personnel and emergency equipment should be available per facility standards.</w:t>
      </w:r>
    </w:p>
    <w:p w:rsidR="001D251A" w:rsidRPr="00D33784" w:rsidRDefault="001D251A" w:rsidP="00124FFE">
      <w:pPr>
        <w:rPr>
          <w:rFonts w:ascii="Arial" w:hAnsi="Arial" w:cs="Arial"/>
          <w:sz w:val="20"/>
        </w:rPr>
      </w:pPr>
    </w:p>
    <w:p w:rsidR="005A42F8" w:rsidRPr="00D33784" w:rsidRDefault="005A42F8" w:rsidP="005A42F8">
      <w:pPr>
        <w:tabs>
          <w:tab w:val="left" w:pos="-1080"/>
          <w:tab w:val="left" w:pos="-720"/>
          <w:tab w:val="left" w:pos="712"/>
          <w:tab w:val="left" w:pos="1080"/>
          <w:tab w:val="left" w:pos="1440"/>
          <w:tab w:val="left" w:pos="1800"/>
          <w:tab w:val="left" w:pos="2160"/>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sz w:val="20"/>
          <w:szCs w:val="20"/>
        </w:rPr>
      </w:pPr>
      <w:r w:rsidRPr="00D33784">
        <w:rPr>
          <w:rFonts w:ascii="Arial" w:hAnsi="Arial" w:cs="Arial"/>
          <w:b/>
          <w:sz w:val="20"/>
          <w:szCs w:val="20"/>
        </w:rPr>
        <w:t xml:space="preserve">For purposes of informed consent regarding reasonably foreseeable risks to subjects in trials utilizing </w:t>
      </w:r>
      <w:r w:rsidRPr="00D33784">
        <w:rPr>
          <w:rFonts w:ascii="Arial" w:hAnsi="Arial" w:cs="Arial"/>
          <w:b/>
          <w:sz w:val="20"/>
        </w:rPr>
        <w:t>3’-deoxy-3’-[F-18</w:t>
      </w:r>
      <w:r w:rsidR="00D33784" w:rsidRPr="00D33784">
        <w:rPr>
          <w:rFonts w:ascii="Arial" w:hAnsi="Arial" w:cs="Arial"/>
          <w:b/>
          <w:sz w:val="20"/>
        </w:rPr>
        <w:t>]fluorothymidine</w:t>
      </w:r>
      <w:r w:rsidRPr="00D33784">
        <w:rPr>
          <w:rFonts w:ascii="Arial" w:hAnsi="Arial" w:cs="Arial"/>
          <w:b/>
          <w:sz w:val="20"/>
          <w:szCs w:val="20"/>
        </w:rPr>
        <w:t>, the following potential adverse events are considered extremely rare:</w:t>
      </w:r>
    </w:p>
    <w:p w:rsidR="005A42F8" w:rsidRPr="00D33784" w:rsidRDefault="005A42F8" w:rsidP="005A42F8">
      <w:pPr>
        <w:tabs>
          <w:tab w:val="left" w:pos="-1080"/>
          <w:tab w:val="left" w:pos="-720"/>
          <w:tab w:val="left" w:pos="712"/>
          <w:tab w:val="left" w:pos="1080"/>
          <w:tab w:val="left" w:pos="1440"/>
          <w:tab w:val="left" w:pos="1800"/>
          <w:tab w:val="left" w:pos="2160"/>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sz w:val="20"/>
          <w:szCs w:val="20"/>
        </w:rPr>
      </w:pPr>
    </w:p>
    <w:p w:rsidR="00F465F8" w:rsidRPr="00D33784" w:rsidRDefault="00E8473A" w:rsidP="005A42F8">
      <w:pPr>
        <w:numPr>
          <w:ilvl w:val="0"/>
          <w:numId w:val="1"/>
        </w:numPr>
        <w:tabs>
          <w:tab w:val="left" w:pos="-1080"/>
          <w:tab w:val="left" w:pos="-72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sz w:val="20"/>
          <w:szCs w:val="20"/>
        </w:rPr>
      </w:pPr>
      <w:r>
        <w:rPr>
          <w:rFonts w:ascii="Arial" w:hAnsi="Arial" w:cs="Arial"/>
          <w:b/>
          <w:sz w:val="20"/>
          <w:szCs w:val="20"/>
        </w:rPr>
        <w:t>Injection-</w:t>
      </w:r>
      <w:r w:rsidR="00F465F8" w:rsidRPr="00D33784">
        <w:rPr>
          <w:rFonts w:ascii="Arial" w:hAnsi="Arial" w:cs="Arial"/>
          <w:b/>
          <w:sz w:val="20"/>
          <w:szCs w:val="20"/>
        </w:rPr>
        <w:t xml:space="preserve">related risks that may include infection, or accidental extravasation of the dose that may lead to discomfort, localized pain, or infection. </w:t>
      </w:r>
    </w:p>
    <w:p w:rsidR="005A42F8" w:rsidRPr="00D33784" w:rsidRDefault="005A42F8" w:rsidP="005A42F8">
      <w:pPr>
        <w:numPr>
          <w:ilvl w:val="0"/>
          <w:numId w:val="1"/>
        </w:numPr>
        <w:tabs>
          <w:tab w:val="left" w:pos="-1080"/>
          <w:tab w:val="left" w:pos="-72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sz w:val="20"/>
          <w:szCs w:val="20"/>
        </w:rPr>
      </w:pPr>
      <w:r w:rsidRPr="00D33784">
        <w:rPr>
          <w:rFonts w:ascii="Arial" w:hAnsi="Arial" w:cs="Arial"/>
          <w:b/>
          <w:sz w:val="20"/>
          <w:szCs w:val="20"/>
        </w:rPr>
        <w:t>Risks related to allergic reaction/anaphylaxis that may be life threatening</w:t>
      </w:r>
      <w:r w:rsidR="008865AE">
        <w:rPr>
          <w:rFonts w:ascii="Arial" w:hAnsi="Arial" w:cs="Arial"/>
          <w:b/>
          <w:sz w:val="20"/>
          <w:szCs w:val="20"/>
        </w:rPr>
        <w:t>.</w:t>
      </w:r>
    </w:p>
    <w:p w:rsidR="00E352B1" w:rsidRPr="00D33784" w:rsidRDefault="00E352B1" w:rsidP="00E352B1">
      <w:pPr>
        <w:tabs>
          <w:tab w:val="left" w:pos="-1080"/>
          <w:tab w:val="left" w:pos="-72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0"/>
          <w:szCs w:val="20"/>
        </w:rPr>
      </w:pPr>
    </w:p>
    <w:p w:rsidR="005329C1" w:rsidRPr="00D33784" w:rsidRDefault="005329C1" w:rsidP="00D33784">
      <w:pPr>
        <w:pStyle w:val="ListParagraph"/>
        <w:tabs>
          <w:tab w:val="left" w:pos="-1080"/>
          <w:tab w:val="left" w:pos="-720"/>
          <w:tab w:val="left" w:pos="0"/>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rPr>
          <w:rFonts w:ascii="Arial" w:hAnsi="Arial" w:cs="Arial"/>
          <w:sz w:val="20"/>
          <w:szCs w:val="20"/>
        </w:rPr>
      </w:pPr>
      <w:r w:rsidRPr="00D33784">
        <w:rPr>
          <w:rFonts w:ascii="Arial" w:hAnsi="Arial" w:cs="Arial"/>
          <w:b/>
          <w:sz w:val="20"/>
          <w:szCs w:val="20"/>
          <w:u w:val="single"/>
        </w:rPr>
        <w:t xml:space="preserve">Note: </w:t>
      </w:r>
      <w:r w:rsidR="00D33784" w:rsidRPr="00D33784">
        <w:rPr>
          <w:rFonts w:ascii="Arial" w:hAnsi="Arial" w:cs="Arial"/>
          <w:b/>
          <w:sz w:val="20"/>
          <w:szCs w:val="20"/>
          <w:u w:val="single"/>
        </w:rPr>
        <w:t xml:space="preserve"> </w:t>
      </w:r>
      <w:r w:rsidR="008865AE">
        <w:rPr>
          <w:rFonts w:ascii="Arial" w:hAnsi="Arial" w:cs="Arial"/>
          <w:sz w:val="20"/>
          <w:szCs w:val="20"/>
        </w:rPr>
        <w:t xml:space="preserve">As with all </w:t>
      </w:r>
      <w:r w:rsidRPr="00D33784">
        <w:rPr>
          <w:rFonts w:ascii="Arial" w:hAnsi="Arial" w:cs="Arial"/>
          <w:sz w:val="20"/>
          <w:szCs w:val="20"/>
        </w:rPr>
        <w:t>PET imaging agents</w:t>
      </w:r>
      <w:r w:rsidR="008865AE">
        <w:rPr>
          <w:rFonts w:ascii="Arial" w:hAnsi="Arial" w:cs="Arial"/>
          <w:sz w:val="20"/>
          <w:szCs w:val="20"/>
        </w:rPr>
        <w:t>,</w:t>
      </w:r>
      <w:r w:rsidRPr="00D33784">
        <w:rPr>
          <w:rFonts w:ascii="Arial" w:hAnsi="Arial" w:cs="Arial"/>
          <w:sz w:val="20"/>
          <w:szCs w:val="20"/>
        </w:rPr>
        <w:t xml:space="preserve"> 3'-deoxy-3'-[F-18</w:t>
      </w:r>
      <w:r w:rsidR="00D33784" w:rsidRPr="00D33784">
        <w:rPr>
          <w:rFonts w:ascii="Arial" w:hAnsi="Arial" w:cs="Arial"/>
          <w:sz w:val="20"/>
          <w:szCs w:val="20"/>
        </w:rPr>
        <w:t>]fluorothymidine</w:t>
      </w:r>
      <w:r w:rsidRPr="00D33784">
        <w:rPr>
          <w:rFonts w:ascii="Arial" w:hAnsi="Arial" w:cs="Arial"/>
          <w:sz w:val="20"/>
          <w:szCs w:val="20"/>
        </w:rPr>
        <w:t xml:space="preserve"> is a radiopharmaceutical that decays with positron emission.  As such</w:t>
      </w:r>
      <w:r w:rsidR="008865AE">
        <w:rPr>
          <w:rFonts w:ascii="Arial" w:hAnsi="Arial" w:cs="Arial"/>
          <w:sz w:val="20"/>
          <w:szCs w:val="20"/>
        </w:rPr>
        <w:t>,</w:t>
      </w:r>
      <w:r w:rsidRPr="00D33784">
        <w:rPr>
          <w:rFonts w:ascii="Arial" w:hAnsi="Arial" w:cs="Arial"/>
          <w:sz w:val="20"/>
          <w:szCs w:val="20"/>
        </w:rPr>
        <w:t xml:space="preserve"> it poses an intrinsic radiation exposure risk.  However, when administered in accordance with the Investigator’s Brochure as a PET imaging agent, this risk is felt to be extremely small.  The organ and total body doses associated with FLT PET imaging are comparable to or lower than those associated with other widely used clinical nuclear medicine procedures.</w:t>
      </w:r>
      <w:r w:rsidRPr="00D33784">
        <w:rPr>
          <w:rFonts w:ascii="Arial" w:eastAsia="MS Mincho" w:hAnsi="Arial" w:cs="Arial"/>
          <w:sz w:val="20"/>
          <w:szCs w:val="20"/>
        </w:rPr>
        <w:t xml:space="preserve">  </w:t>
      </w:r>
    </w:p>
    <w:p w:rsidR="005329C1" w:rsidRPr="00124FFE" w:rsidRDefault="00DA6382" w:rsidP="00921EF9">
      <w:pPr>
        <w:spacing w:before="120"/>
        <w:rPr>
          <w:rFonts w:ascii="Arial" w:hAnsi="Arial" w:cs="Arial"/>
          <w:sz w:val="20"/>
        </w:rPr>
      </w:pPr>
      <w:r w:rsidRPr="00124FFE">
        <w:rPr>
          <w:rFonts w:ascii="Arial" w:hAnsi="Arial" w:cs="Arial"/>
          <w:b/>
          <w:sz w:val="20"/>
          <w:u w:val="single"/>
        </w:rPr>
        <w:lastRenderedPageBreak/>
        <w:t>Note</w:t>
      </w:r>
      <w:r>
        <w:rPr>
          <w:rFonts w:ascii="Arial" w:hAnsi="Arial" w:cs="Arial"/>
          <w:sz w:val="20"/>
        </w:rPr>
        <w:t>: 3'-deoxy-3'-[F-18</w:t>
      </w:r>
      <w:proofErr w:type="gramStart"/>
      <w:r>
        <w:rPr>
          <w:rFonts w:ascii="Arial" w:hAnsi="Arial" w:cs="Arial"/>
          <w:sz w:val="20"/>
        </w:rPr>
        <w:t>]fluorothymidine</w:t>
      </w:r>
      <w:proofErr w:type="gramEnd"/>
      <w:r>
        <w:rPr>
          <w:rFonts w:ascii="Arial" w:hAnsi="Arial" w:cs="Arial"/>
          <w:sz w:val="20"/>
        </w:rPr>
        <w:t xml:space="preserve"> in combination with other agents could cause an exacerbation of any adverse event currently known to be caused by the other agent, or the combination may result in events never previous</w:t>
      </w:r>
      <w:r w:rsidR="00D33784">
        <w:rPr>
          <w:rFonts w:ascii="Arial" w:hAnsi="Arial" w:cs="Arial"/>
          <w:sz w:val="20"/>
        </w:rPr>
        <w:t xml:space="preserve">ly associated with either agent. </w:t>
      </w:r>
    </w:p>
    <w:sectPr w:rsidR="005329C1" w:rsidRPr="00124FFE" w:rsidSect="00921EF9">
      <w:headerReference w:type="default" r:id="rId9"/>
      <w:pgSz w:w="12240" w:h="15840"/>
      <w:pgMar w:top="720" w:right="1120" w:bottom="1080" w:left="144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A4B" w:rsidRDefault="00F63A4B">
      <w:r>
        <w:separator/>
      </w:r>
    </w:p>
  </w:endnote>
  <w:endnote w:type="continuationSeparator" w:id="0">
    <w:p w:rsidR="00F63A4B" w:rsidRDefault="00F63A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A4B" w:rsidRDefault="00F63A4B">
      <w:r>
        <w:separator/>
      </w:r>
    </w:p>
  </w:footnote>
  <w:footnote w:type="continuationSeparator" w:id="0">
    <w:p w:rsidR="00F63A4B" w:rsidRDefault="00F63A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921EF9" w:rsidRDefault="00622CD8" w:rsidP="00921EF9">
        <w:pPr>
          <w:pStyle w:val="Header"/>
          <w:jc w:val="right"/>
        </w:pPr>
        <w:r>
          <w:rPr>
            <w:rFonts w:ascii="Arial" w:hAnsi="Arial" w:cs="Arial"/>
            <w:b/>
            <w:sz w:val="20"/>
            <w:szCs w:val="20"/>
          </w:rPr>
          <w:t>CAEPR for 3’-deoxy-3’-[F-18</w:t>
        </w:r>
        <w:proofErr w:type="gramStart"/>
        <w:r>
          <w:rPr>
            <w:rFonts w:ascii="Arial" w:hAnsi="Arial" w:cs="Arial"/>
            <w:b/>
            <w:sz w:val="20"/>
            <w:szCs w:val="20"/>
          </w:rPr>
          <w:t>]fluorothymidine</w:t>
        </w:r>
        <w:proofErr w:type="gramEnd"/>
        <w:r>
          <w:rPr>
            <w:rFonts w:ascii="Arial" w:hAnsi="Arial" w:cs="Arial"/>
            <w:b/>
            <w:sz w:val="20"/>
            <w:szCs w:val="20"/>
          </w:rPr>
          <w:t xml:space="preserve"> (NSC 743144)</w:t>
        </w:r>
        <w:r>
          <w:t xml:space="preserve">, </w:t>
        </w:r>
        <w:r w:rsidR="00921EF9" w:rsidRPr="00921EF9">
          <w:rPr>
            <w:rFonts w:ascii="Arial" w:hAnsi="Arial" w:cs="Arial"/>
            <w:b/>
            <w:sz w:val="20"/>
            <w:szCs w:val="20"/>
          </w:rPr>
          <w:t xml:space="preserve">Page </w:t>
        </w:r>
        <w:r w:rsidR="009A43C1" w:rsidRPr="00921EF9">
          <w:rPr>
            <w:rFonts w:ascii="Arial" w:hAnsi="Arial" w:cs="Arial"/>
            <w:b/>
            <w:sz w:val="20"/>
            <w:szCs w:val="20"/>
          </w:rPr>
          <w:fldChar w:fldCharType="begin"/>
        </w:r>
        <w:r w:rsidR="00921EF9" w:rsidRPr="00921EF9">
          <w:rPr>
            <w:rFonts w:ascii="Arial" w:hAnsi="Arial" w:cs="Arial"/>
            <w:b/>
            <w:sz w:val="20"/>
            <w:szCs w:val="20"/>
          </w:rPr>
          <w:instrText xml:space="preserve"> PAGE </w:instrText>
        </w:r>
        <w:r w:rsidR="009A43C1" w:rsidRPr="00921EF9">
          <w:rPr>
            <w:rFonts w:ascii="Arial" w:hAnsi="Arial" w:cs="Arial"/>
            <w:b/>
            <w:sz w:val="20"/>
            <w:szCs w:val="20"/>
          </w:rPr>
          <w:fldChar w:fldCharType="separate"/>
        </w:r>
        <w:r w:rsidR="00BF1C59">
          <w:rPr>
            <w:rFonts w:ascii="Arial" w:hAnsi="Arial" w:cs="Arial"/>
            <w:b/>
            <w:noProof/>
            <w:sz w:val="20"/>
            <w:szCs w:val="20"/>
          </w:rPr>
          <w:t>1</w:t>
        </w:r>
        <w:r w:rsidR="009A43C1" w:rsidRPr="00921EF9">
          <w:rPr>
            <w:rFonts w:ascii="Arial" w:hAnsi="Arial" w:cs="Arial"/>
            <w:b/>
            <w:sz w:val="20"/>
            <w:szCs w:val="20"/>
          </w:rPr>
          <w:fldChar w:fldCharType="end"/>
        </w:r>
        <w:r w:rsidR="00921EF9" w:rsidRPr="00921EF9">
          <w:rPr>
            <w:rFonts w:ascii="Arial" w:hAnsi="Arial" w:cs="Arial"/>
            <w:b/>
            <w:sz w:val="20"/>
            <w:szCs w:val="20"/>
          </w:rPr>
          <w:t xml:space="preserve"> of </w:t>
        </w:r>
        <w:r w:rsidR="009A43C1" w:rsidRPr="00921EF9">
          <w:rPr>
            <w:rFonts w:ascii="Arial" w:hAnsi="Arial" w:cs="Arial"/>
            <w:b/>
            <w:sz w:val="20"/>
            <w:szCs w:val="20"/>
          </w:rPr>
          <w:fldChar w:fldCharType="begin"/>
        </w:r>
        <w:r w:rsidR="00921EF9" w:rsidRPr="00921EF9">
          <w:rPr>
            <w:rFonts w:ascii="Arial" w:hAnsi="Arial" w:cs="Arial"/>
            <w:b/>
            <w:sz w:val="20"/>
            <w:szCs w:val="20"/>
          </w:rPr>
          <w:instrText xml:space="preserve"> NUMPAGES  </w:instrText>
        </w:r>
        <w:r w:rsidR="009A43C1" w:rsidRPr="00921EF9">
          <w:rPr>
            <w:rFonts w:ascii="Arial" w:hAnsi="Arial" w:cs="Arial"/>
            <w:b/>
            <w:sz w:val="20"/>
            <w:szCs w:val="20"/>
          </w:rPr>
          <w:fldChar w:fldCharType="separate"/>
        </w:r>
        <w:r w:rsidR="00BF1C59">
          <w:rPr>
            <w:rFonts w:ascii="Arial" w:hAnsi="Arial" w:cs="Arial"/>
            <w:b/>
            <w:noProof/>
            <w:sz w:val="20"/>
            <w:szCs w:val="20"/>
          </w:rPr>
          <w:t>2</w:t>
        </w:r>
        <w:r w:rsidR="009A43C1" w:rsidRPr="00921EF9">
          <w:rPr>
            <w:rFonts w:ascii="Arial" w:hAnsi="Arial" w:cs="Arial"/>
            <w:b/>
            <w:sz w:val="20"/>
            <w:szCs w:val="20"/>
          </w:rPr>
          <w:fldChar w:fldCharType="end"/>
        </w:r>
      </w:p>
    </w:sdtContent>
  </w:sdt>
  <w:p w:rsidR="00F63A4B" w:rsidRPr="00124FFE" w:rsidRDefault="009A43C1" w:rsidP="00921EF9">
    <w:pPr>
      <w:pStyle w:val="Header"/>
      <w:rPr>
        <w:rFonts w:ascii="Arial" w:hAnsi="Arial" w:cs="Arial"/>
        <w:b/>
        <w:sz w:val="20"/>
        <w:szCs w:val="20"/>
      </w:rPr>
    </w:pPr>
    <w:sdt>
      <w:sdtPr>
        <w:rPr>
          <w:rFonts w:ascii="Arial" w:hAnsi="Arial" w:cs="Arial"/>
          <w:b/>
          <w:sz w:val="20"/>
          <w:szCs w:val="20"/>
        </w:rPr>
        <w:id w:val="16155924"/>
        <w:docPartObj>
          <w:docPartGallery w:val="Watermarks"/>
          <w:docPartUnique/>
        </w:docPartObj>
      </w:sdtPr>
      <w:sdtContent>
        <w:r>
          <w:rPr>
            <w:rFonts w:ascii="Arial" w:hAnsi="Arial" w:cs="Arial"/>
            <w:b/>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91035"/>
    <w:multiLevelType w:val="hybridMultilevel"/>
    <w:tmpl w:val="003C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322FD3"/>
    <w:multiLevelType w:val="hybridMultilevel"/>
    <w:tmpl w:val="F69EA22C"/>
    <w:lvl w:ilvl="0" w:tplc="27EEF980">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24FFE"/>
    <w:rsid w:val="00086AFA"/>
    <w:rsid w:val="000D02AF"/>
    <w:rsid w:val="000D46A9"/>
    <w:rsid w:val="000D4C9F"/>
    <w:rsid w:val="000D7F00"/>
    <w:rsid w:val="00124FFE"/>
    <w:rsid w:val="00173C81"/>
    <w:rsid w:val="00194EF2"/>
    <w:rsid w:val="001B0360"/>
    <w:rsid w:val="001D251A"/>
    <w:rsid w:val="002947C3"/>
    <w:rsid w:val="002C29C1"/>
    <w:rsid w:val="00362247"/>
    <w:rsid w:val="003754B4"/>
    <w:rsid w:val="003C6CE1"/>
    <w:rsid w:val="003F1235"/>
    <w:rsid w:val="003F2924"/>
    <w:rsid w:val="003F7061"/>
    <w:rsid w:val="004120CA"/>
    <w:rsid w:val="00431243"/>
    <w:rsid w:val="004B66D9"/>
    <w:rsid w:val="005329C1"/>
    <w:rsid w:val="0054287A"/>
    <w:rsid w:val="00554DDB"/>
    <w:rsid w:val="005A42F8"/>
    <w:rsid w:val="005D639B"/>
    <w:rsid w:val="005E52DF"/>
    <w:rsid w:val="005E6059"/>
    <w:rsid w:val="005F417F"/>
    <w:rsid w:val="00606E18"/>
    <w:rsid w:val="006070AD"/>
    <w:rsid w:val="006158B9"/>
    <w:rsid w:val="00622CD8"/>
    <w:rsid w:val="00634327"/>
    <w:rsid w:val="0063668B"/>
    <w:rsid w:val="00657DD6"/>
    <w:rsid w:val="00665E67"/>
    <w:rsid w:val="006A203A"/>
    <w:rsid w:val="006F37BC"/>
    <w:rsid w:val="006F5746"/>
    <w:rsid w:val="0073504F"/>
    <w:rsid w:val="007860D0"/>
    <w:rsid w:val="007B15B6"/>
    <w:rsid w:val="007C2700"/>
    <w:rsid w:val="007C540A"/>
    <w:rsid w:val="00807092"/>
    <w:rsid w:val="008865AE"/>
    <w:rsid w:val="008C0469"/>
    <w:rsid w:val="008D0D7E"/>
    <w:rsid w:val="008D2219"/>
    <w:rsid w:val="00921EF9"/>
    <w:rsid w:val="00944EEE"/>
    <w:rsid w:val="009972E5"/>
    <w:rsid w:val="009A43C1"/>
    <w:rsid w:val="009D30CA"/>
    <w:rsid w:val="00A0392C"/>
    <w:rsid w:val="00A21333"/>
    <w:rsid w:val="00B1539F"/>
    <w:rsid w:val="00B423BD"/>
    <w:rsid w:val="00B72BE2"/>
    <w:rsid w:val="00B9158C"/>
    <w:rsid w:val="00BA52C4"/>
    <w:rsid w:val="00BD6EA0"/>
    <w:rsid w:val="00BF1C59"/>
    <w:rsid w:val="00C17128"/>
    <w:rsid w:val="00C2262B"/>
    <w:rsid w:val="00C43E19"/>
    <w:rsid w:val="00C67FA7"/>
    <w:rsid w:val="00C906E7"/>
    <w:rsid w:val="00C97D00"/>
    <w:rsid w:val="00CA1C9F"/>
    <w:rsid w:val="00CB0FCF"/>
    <w:rsid w:val="00CC3526"/>
    <w:rsid w:val="00CF2937"/>
    <w:rsid w:val="00D007D8"/>
    <w:rsid w:val="00D20A23"/>
    <w:rsid w:val="00D24FA0"/>
    <w:rsid w:val="00D25ADF"/>
    <w:rsid w:val="00D31552"/>
    <w:rsid w:val="00D33784"/>
    <w:rsid w:val="00D5713E"/>
    <w:rsid w:val="00D605D9"/>
    <w:rsid w:val="00D638AC"/>
    <w:rsid w:val="00DA6382"/>
    <w:rsid w:val="00DE51BD"/>
    <w:rsid w:val="00DE5FEE"/>
    <w:rsid w:val="00DF61A6"/>
    <w:rsid w:val="00E02C02"/>
    <w:rsid w:val="00E32707"/>
    <w:rsid w:val="00E352B1"/>
    <w:rsid w:val="00E46911"/>
    <w:rsid w:val="00E46A21"/>
    <w:rsid w:val="00E8473A"/>
    <w:rsid w:val="00ED41C7"/>
    <w:rsid w:val="00EE5E45"/>
    <w:rsid w:val="00EF5488"/>
    <w:rsid w:val="00F1384C"/>
    <w:rsid w:val="00F465F8"/>
    <w:rsid w:val="00F52C57"/>
    <w:rsid w:val="00F6364D"/>
    <w:rsid w:val="00F63A4B"/>
    <w:rsid w:val="00F90D74"/>
    <w:rsid w:val="00FA00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FFE"/>
    <w:pPr>
      <w:tabs>
        <w:tab w:val="center" w:pos="4320"/>
        <w:tab w:val="right" w:pos="8640"/>
      </w:tabs>
    </w:pPr>
  </w:style>
  <w:style w:type="character" w:customStyle="1" w:styleId="HeaderChar">
    <w:name w:val="Header Char"/>
    <w:basedOn w:val="DefaultParagraphFont"/>
    <w:link w:val="Header"/>
    <w:uiPriority w:val="99"/>
    <w:locked/>
    <w:rsid w:val="00E46911"/>
    <w:rPr>
      <w:rFonts w:cs="Times New Roman"/>
      <w:sz w:val="24"/>
      <w:szCs w:val="24"/>
    </w:rPr>
  </w:style>
  <w:style w:type="paragraph" w:styleId="Footer">
    <w:name w:val="footer"/>
    <w:basedOn w:val="Normal"/>
    <w:link w:val="FooterChar"/>
    <w:uiPriority w:val="99"/>
    <w:rsid w:val="00124FFE"/>
    <w:pPr>
      <w:tabs>
        <w:tab w:val="center" w:pos="4320"/>
        <w:tab w:val="right" w:pos="8640"/>
      </w:tabs>
    </w:pPr>
  </w:style>
  <w:style w:type="character" w:customStyle="1" w:styleId="FooterChar">
    <w:name w:val="Footer Char"/>
    <w:basedOn w:val="DefaultParagraphFont"/>
    <w:link w:val="Footer"/>
    <w:uiPriority w:val="99"/>
    <w:semiHidden/>
    <w:locked/>
    <w:rsid w:val="00E46911"/>
    <w:rPr>
      <w:rFonts w:cs="Times New Roman"/>
      <w:sz w:val="24"/>
      <w:szCs w:val="24"/>
    </w:rPr>
  </w:style>
  <w:style w:type="paragraph" w:styleId="BalloonText">
    <w:name w:val="Balloon Text"/>
    <w:basedOn w:val="Normal"/>
    <w:link w:val="BalloonTextChar"/>
    <w:uiPriority w:val="99"/>
    <w:rsid w:val="00D20A23"/>
    <w:rPr>
      <w:rFonts w:ascii="Tahoma" w:hAnsi="Tahoma" w:cs="Tahoma"/>
      <w:sz w:val="16"/>
      <w:szCs w:val="16"/>
    </w:rPr>
  </w:style>
  <w:style w:type="character" w:customStyle="1" w:styleId="BalloonTextChar">
    <w:name w:val="Balloon Text Char"/>
    <w:basedOn w:val="DefaultParagraphFont"/>
    <w:link w:val="BalloonText"/>
    <w:uiPriority w:val="99"/>
    <w:locked/>
    <w:rsid w:val="00D20A23"/>
    <w:rPr>
      <w:rFonts w:ascii="Tahoma" w:hAnsi="Tahoma" w:cs="Tahoma"/>
      <w:sz w:val="16"/>
      <w:szCs w:val="16"/>
    </w:rPr>
  </w:style>
  <w:style w:type="character" w:styleId="Hyperlink">
    <w:name w:val="Hyperlink"/>
    <w:basedOn w:val="DefaultParagraphFont"/>
    <w:uiPriority w:val="99"/>
    <w:rsid w:val="006A203A"/>
    <w:rPr>
      <w:rFonts w:cs="Times New Roman"/>
      <w:color w:val="0000FF"/>
      <w:u w:val="single"/>
    </w:rPr>
  </w:style>
  <w:style w:type="character" w:styleId="EndnoteReference">
    <w:name w:val="endnote reference"/>
    <w:basedOn w:val="DefaultParagraphFont"/>
    <w:uiPriority w:val="99"/>
    <w:rsid w:val="00665E67"/>
    <w:rPr>
      <w:rFonts w:cs="Times New Roman"/>
      <w:vertAlign w:val="superscript"/>
    </w:rPr>
  </w:style>
  <w:style w:type="character" w:styleId="CommentReference">
    <w:name w:val="annotation reference"/>
    <w:basedOn w:val="DefaultParagraphFont"/>
    <w:uiPriority w:val="99"/>
    <w:semiHidden/>
    <w:unhideWhenUsed/>
    <w:rsid w:val="00DA6382"/>
    <w:rPr>
      <w:sz w:val="16"/>
      <w:szCs w:val="16"/>
    </w:rPr>
  </w:style>
  <w:style w:type="paragraph" w:styleId="CommentText">
    <w:name w:val="annotation text"/>
    <w:basedOn w:val="Normal"/>
    <w:link w:val="CommentTextChar"/>
    <w:uiPriority w:val="99"/>
    <w:semiHidden/>
    <w:unhideWhenUsed/>
    <w:rsid w:val="00DA6382"/>
    <w:rPr>
      <w:sz w:val="20"/>
      <w:szCs w:val="20"/>
    </w:rPr>
  </w:style>
  <w:style w:type="character" w:customStyle="1" w:styleId="CommentTextChar">
    <w:name w:val="Comment Text Char"/>
    <w:basedOn w:val="DefaultParagraphFont"/>
    <w:link w:val="CommentText"/>
    <w:uiPriority w:val="99"/>
    <w:semiHidden/>
    <w:rsid w:val="00DA6382"/>
    <w:rPr>
      <w:sz w:val="20"/>
      <w:szCs w:val="20"/>
    </w:rPr>
  </w:style>
  <w:style w:type="paragraph" w:styleId="CommentSubject">
    <w:name w:val="annotation subject"/>
    <w:basedOn w:val="CommentText"/>
    <w:next w:val="CommentText"/>
    <w:link w:val="CommentSubjectChar"/>
    <w:uiPriority w:val="99"/>
    <w:semiHidden/>
    <w:unhideWhenUsed/>
    <w:rsid w:val="00DA6382"/>
    <w:rPr>
      <w:b/>
      <w:bCs/>
    </w:rPr>
  </w:style>
  <w:style w:type="character" w:customStyle="1" w:styleId="CommentSubjectChar">
    <w:name w:val="Comment Subject Char"/>
    <w:basedOn w:val="CommentTextChar"/>
    <w:link w:val="CommentSubject"/>
    <w:uiPriority w:val="99"/>
    <w:semiHidden/>
    <w:rsid w:val="00DA6382"/>
    <w:rPr>
      <w:b/>
      <w:bCs/>
    </w:rPr>
  </w:style>
  <w:style w:type="paragraph" w:styleId="ListParagraph">
    <w:name w:val="List Paragraph"/>
    <w:basedOn w:val="Normal"/>
    <w:uiPriority w:val="34"/>
    <w:qFormat/>
    <w:rsid w:val="00D337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O@CTEP.NCI.NIH.GOV" TargetMode="External"/><Relationship Id="rId3" Type="http://schemas.openxmlformats.org/officeDocument/2006/relationships/settings" Target="settings.xml"/><Relationship Id="rId7" Type="http://schemas.openxmlformats.org/officeDocument/2006/relationships/hyperlink" Target="http://ctep.cancer.gov/protocolDevelopment/electronic_applications/docs/ae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541</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Comprehensive Adverse Events and Potential Risks List (CAEPR)</vt:lpstr>
    </vt:vector>
  </TitlesOfParts>
  <Company>TRI</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Adverse Events and Potential Risks List (CAEPR)</dc:title>
  <dc:subject/>
  <dc:creator>jmurray</dc:creator>
  <cp:keywords/>
  <dc:description/>
  <cp:lastModifiedBy>jmurray</cp:lastModifiedBy>
  <cp:revision>10</cp:revision>
  <cp:lastPrinted>2011-11-22T20:18:00Z</cp:lastPrinted>
  <dcterms:created xsi:type="dcterms:W3CDTF">2011-02-16T11:06:00Z</dcterms:created>
  <dcterms:modified xsi:type="dcterms:W3CDTF">2011-11-23T19:17:00Z</dcterms:modified>
</cp:coreProperties>
</file>